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82" w:rsidRPr="007C36BB" w:rsidRDefault="00EC1BA6">
      <w:pPr>
        <w:rPr>
          <w:rFonts w:ascii="Century Gothic" w:hAnsi="Century Gothic"/>
          <w:b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Big Ideas in Number Focus Area:</w:t>
      </w:r>
      <w:r w:rsidR="007C36BB">
        <w:rPr>
          <w:rFonts w:ascii="Century Gothic" w:hAnsi="Century Gothic"/>
          <w:sz w:val="24"/>
          <w:szCs w:val="24"/>
        </w:rPr>
        <w:t xml:space="preserve"> </w:t>
      </w:r>
      <w:r w:rsidR="000D422C">
        <w:rPr>
          <w:rFonts w:ascii="Century Gothic" w:hAnsi="Century Gothic"/>
          <w:sz w:val="24"/>
          <w:szCs w:val="24"/>
        </w:rPr>
        <w:tab/>
      </w:r>
      <w:r w:rsidR="00CF6C68" w:rsidRPr="00CF6C68">
        <w:rPr>
          <w:rFonts w:ascii="Century Gothic" w:hAnsi="Century Gothic"/>
          <w:b/>
          <w:color w:val="FF5050"/>
          <w:sz w:val="24"/>
          <w:szCs w:val="24"/>
        </w:rPr>
        <w:t>Multiplicative Thinking</w:t>
      </w: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EC1BA6" w:rsidRPr="00F53051" w:rsidRDefault="00EC1BA6">
      <w:pPr>
        <w:rPr>
          <w:rFonts w:ascii="Century Gothic" w:hAnsi="Century Gothic"/>
          <w:b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Name of Game or Activity:</w:t>
      </w:r>
      <w:r w:rsidR="00F53051">
        <w:rPr>
          <w:rFonts w:ascii="Century Gothic" w:hAnsi="Century Gothic"/>
          <w:sz w:val="24"/>
          <w:szCs w:val="24"/>
        </w:rPr>
        <w:t xml:space="preserve"> </w:t>
      </w:r>
      <w:r w:rsidR="00796D00">
        <w:rPr>
          <w:rFonts w:ascii="Century Gothic" w:hAnsi="Century Gothic"/>
          <w:b/>
          <w:sz w:val="24"/>
          <w:szCs w:val="24"/>
        </w:rPr>
        <w:t>Flip Tile Arrays</w:t>
      </w:r>
      <w:bookmarkStart w:id="0" w:name="_GoBack"/>
      <w:bookmarkEnd w:id="0"/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EC1BA6" w:rsidRPr="000D422C" w:rsidRDefault="00EC1BA6">
      <w:pPr>
        <w:rPr>
          <w:rFonts w:ascii="Century Gothic" w:hAnsi="Century Gothic"/>
          <w:sz w:val="24"/>
          <w:szCs w:val="24"/>
          <w:u w:val="single"/>
        </w:rPr>
      </w:pPr>
      <w:r w:rsidRPr="000D422C">
        <w:rPr>
          <w:rFonts w:ascii="Century Gothic" w:hAnsi="Century Gothic"/>
          <w:sz w:val="24"/>
          <w:szCs w:val="24"/>
          <w:u w:val="single"/>
        </w:rPr>
        <w:t>Instructions:</w:t>
      </w:r>
    </w:p>
    <w:p w:rsidR="00EC1BA6" w:rsidRDefault="00F53051" w:rsidP="00F530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Students are asked to make “as many</w:t>
      </w:r>
      <w:r w:rsidRPr="00F53051">
        <w:rPr>
          <w:rFonts w:ascii="Century Gothic" w:hAnsi="Century Gothic"/>
          <w:b/>
          <w:sz w:val="24"/>
          <w:szCs w:val="24"/>
        </w:rPr>
        <w:t xml:space="preserve"> different</w:t>
      </w:r>
      <w:r>
        <w:rPr>
          <w:rFonts w:ascii="Century Gothic" w:hAnsi="Century Gothic"/>
          <w:sz w:val="24"/>
          <w:szCs w:val="24"/>
        </w:rPr>
        <w:t xml:space="preserve"> rectangular arrays” for given numbers as they can using a set number of flip tiles. For example: 12 or 24.</w:t>
      </w:r>
      <w:r w:rsidR="00831CED">
        <w:rPr>
          <w:rFonts w:ascii="Century Gothic" w:hAnsi="Century Gothic"/>
          <w:sz w:val="24"/>
          <w:szCs w:val="24"/>
        </w:rPr>
        <w:t xml:space="preserve"> (NB an array has </w:t>
      </w:r>
      <w:r w:rsidR="00831CED" w:rsidRPr="00831CED">
        <w:rPr>
          <w:rFonts w:ascii="Century Gothic" w:hAnsi="Century Gothic"/>
          <w:b/>
          <w:sz w:val="24"/>
          <w:szCs w:val="24"/>
        </w:rPr>
        <w:t>no</w:t>
      </w:r>
      <w:r w:rsidR="00831CED">
        <w:rPr>
          <w:rFonts w:ascii="Century Gothic" w:hAnsi="Century Gothic"/>
          <w:sz w:val="24"/>
          <w:szCs w:val="24"/>
        </w:rPr>
        <w:t xml:space="preserve"> spaces between its parts/square tiles.)</w:t>
      </w:r>
    </w:p>
    <w:p w:rsidR="00F53051" w:rsidRDefault="00F53051" w:rsidP="00F530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These arrays can be drawn or traced in student workbooks or scrap books. Graph b</w:t>
      </w:r>
      <w:r w:rsidR="00831CED">
        <w:rPr>
          <w:rFonts w:ascii="Century Gothic" w:hAnsi="Century Gothic"/>
          <w:sz w:val="24"/>
          <w:szCs w:val="24"/>
        </w:rPr>
        <w:t>ooks can be used for accuracy and</w:t>
      </w:r>
      <w:r>
        <w:rPr>
          <w:rFonts w:ascii="Century Gothic" w:hAnsi="Century Gothic"/>
          <w:sz w:val="24"/>
          <w:szCs w:val="24"/>
        </w:rPr>
        <w:t xml:space="preserve"> ease of representation of arrays</w:t>
      </w:r>
      <w:r w:rsidR="00831CED">
        <w:rPr>
          <w:rFonts w:ascii="Century Gothic" w:hAnsi="Century Gothic"/>
          <w:sz w:val="24"/>
          <w:szCs w:val="24"/>
        </w:rPr>
        <w:t>.</w:t>
      </w:r>
    </w:p>
    <w:p w:rsidR="00831CED" w:rsidRDefault="00831CED" w:rsidP="00F530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Arrays are labelled to sho</w:t>
      </w:r>
      <w:r w:rsidR="00FE61DD">
        <w:rPr>
          <w:rFonts w:ascii="Century Gothic" w:hAnsi="Century Gothic"/>
          <w:sz w:val="24"/>
          <w:szCs w:val="24"/>
        </w:rPr>
        <w:t>w the number of rows and columns of tiles,</w:t>
      </w:r>
      <w:r>
        <w:rPr>
          <w:rFonts w:ascii="Century Gothic" w:hAnsi="Century Gothic"/>
          <w:sz w:val="24"/>
          <w:szCs w:val="24"/>
        </w:rPr>
        <w:t xml:space="preserve"> or the factors of the numbers. For example: 3 rows of </w:t>
      </w:r>
      <w:r w:rsidR="00FE61DD">
        <w:rPr>
          <w:rFonts w:ascii="Century Gothic" w:hAnsi="Century Gothic"/>
          <w:sz w:val="24"/>
          <w:szCs w:val="24"/>
        </w:rPr>
        <w:t>4 tiles equals 12 tiles, or 2x6=12</w:t>
      </w:r>
    </w:p>
    <w:p w:rsidR="00831CED" w:rsidRDefault="00831CED" w:rsidP="00F530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Arrays can be coloured by students or patterns can be shown, graphically.</w:t>
      </w:r>
    </w:p>
    <w:p w:rsidR="00F53051" w:rsidRDefault="00F53051" w:rsidP="00F530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Once students are familiar with the task and the range of factors that </w:t>
      </w:r>
      <w:r w:rsidR="00831CED">
        <w:rPr>
          <w:rFonts w:ascii="Century Gothic" w:hAnsi="Century Gothic"/>
          <w:sz w:val="24"/>
          <w:szCs w:val="24"/>
        </w:rPr>
        <w:t>some numbers have, other numbers can be investigated. For example, 18 or 36. (NB. Square numbers can be identified by their “special” arrays.</w:t>
      </w:r>
    </w:p>
    <w:p w:rsidR="00FE61DD" w:rsidRPr="00F53051" w:rsidRDefault="00FE61DD" w:rsidP="00F530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Arrays can be used to show partitioning or division, or fractions of collections. For example: 12÷3=4 or Half of 12 equals 6.</w:t>
      </w: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EC1BA6" w:rsidRPr="00831CED" w:rsidRDefault="00EC1BA6">
      <w:pPr>
        <w:rPr>
          <w:rFonts w:ascii="Century Gothic" w:hAnsi="Century Gothic"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Resources:</w:t>
      </w:r>
      <w:r w:rsidR="00831CED">
        <w:rPr>
          <w:rFonts w:ascii="Century Gothic" w:hAnsi="Century Gothic"/>
          <w:sz w:val="24"/>
          <w:szCs w:val="24"/>
        </w:rPr>
        <w:t xml:space="preserve">  Flip tiles or </w:t>
      </w:r>
      <w:proofErr w:type="spellStart"/>
      <w:r w:rsidR="00831CED">
        <w:rPr>
          <w:rFonts w:ascii="Century Gothic" w:hAnsi="Century Gothic"/>
          <w:sz w:val="24"/>
          <w:szCs w:val="24"/>
        </w:rPr>
        <w:t>unifix</w:t>
      </w:r>
      <w:proofErr w:type="spellEnd"/>
      <w:r w:rsidR="00831CED">
        <w:rPr>
          <w:rFonts w:ascii="Century Gothic" w:hAnsi="Century Gothic"/>
          <w:sz w:val="24"/>
          <w:szCs w:val="24"/>
        </w:rPr>
        <w:t xml:space="preserve"> or multilink cubes can be used. </w:t>
      </w:r>
      <w:r w:rsidR="00831CED" w:rsidRPr="00831CED">
        <w:rPr>
          <w:rFonts w:ascii="Century Gothic" w:hAnsi="Century Gothic"/>
          <w:sz w:val="24"/>
          <w:szCs w:val="24"/>
        </w:rPr>
        <w:t>Student workbooks-graph books or scrap books</w:t>
      </w:r>
      <w:r w:rsidR="00831CED">
        <w:rPr>
          <w:rFonts w:ascii="Century Gothic" w:hAnsi="Century Gothic"/>
          <w:sz w:val="24"/>
          <w:szCs w:val="24"/>
        </w:rPr>
        <w:t>.</w:t>
      </w:r>
    </w:p>
    <w:p w:rsidR="00831CED" w:rsidRPr="000D422C" w:rsidRDefault="00831CED">
      <w:pPr>
        <w:rPr>
          <w:rFonts w:ascii="Century Gothic" w:hAnsi="Century Gothic"/>
          <w:sz w:val="24"/>
          <w:szCs w:val="24"/>
          <w:u w:val="single"/>
        </w:rPr>
      </w:pP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EC1BA6" w:rsidRPr="007C36BB" w:rsidRDefault="00EC1BA6" w:rsidP="00EC1BA6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7C36BB">
        <w:rPr>
          <w:rFonts w:ascii="Century Gothic" w:hAnsi="Century Gothic"/>
          <w:b/>
          <w:sz w:val="24"/>
          <w:szCs w:val="24"/>
        </w:rPr>
        <w:t>BIiN</w:t>
      </w:r>
      <w:proofErr w:type="spellEnd"/>
      <w:r w:rsidRPr="007C36BB">
        <w:rPr>
          <w:rFonts w:ascii="Century Gothic" w:hAnsi="Century Gothic"/>
          <w:b/>
          <w:sz w:val="24"/>
          <w:szCs w:val="24"/>
        </w:rPr>
        <w:t xml:space="preserve"> Micro Content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8572"/>
        <w:gridCol w:w="1016"/>
      </w:tblGrid>
      <w:tr w:rsidR="00CF6C68" w:rsidRPr="007C36BB" w:rsidTr="007D40D8">
        <w:trPr>
          <w:trHeight w:val="666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Cyclical pattern of 100-10-1 is repeated from ones to thousands</w:t>
            </w:r>
          </w:p>
        </w:tc>
        <w:tc>
          <w:tcPr>
            <w:tcW w:w="1016" w:type="dxa"/>
          </w:tcPr>
          <w:p w:rsidR="00CF6C68" w:rsidRPr="007C36BB" w:rsidRDefault="00CF6C68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F6C68" w:rsidRPr="007C36BB" w:rsidTr="007D40D8">
        <w:trPr>
          <w:trHeight w:val="324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Cyclical pattern of 100-10-1 is repeated beyond 100s to millions</w:t>
            </w:r>
          </w:p>
        </w:tc>
        <w:tc>
          <w:tcPr>
            <w:tcW w:w="1016" w:type="dxa"/>
          </w:tcPr>
          <w:p w:rsidR="00CF6C68" w:rsidRPr="007C36BB" w:rsidRDefault="00CF6C68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F6C68" w:rsidRPr="007C36BB" w:rsidTr="007D40D8">
        <w:trPr>
          <w:trHeight w:val="324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Ten times multiplicative relationship exists between places</w:t>
            </w:r>
          </w:p>
        </w:tc>
        <w:tc>
          <w:tcPr>
            <w:tcW w:w="1016" w:type="dxa"/>
          </w:tcPr>
          <w:p w:rsidR="00CF6C68" w:rsidRPr="007C36BB" w:rsidRDefault="00CF6C68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F6C68" w:rsidRPr="007C36BB" w:rsidTr="007D40D8">
        <w:trPr>
          <w:trHeight w:val="342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The multiplicative relationship extends to numbers less than one, that is to the right of the decimal point</w:t>
            </w:r>
          </w:p>
        </w:tc>
        <w:tc>
          <w:tcPr>
            <w:tcW w:w="1016" w:type="dxa"/>
          </w:tcPr>
          <w:p w:rsidR="00CF6C68" w:rsidRPr="007C36BB" w:rsidRDefault="00CF6C68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F6C68" w:rsidRPr="007C36BB" w:rsidTr="007D40D8">
        <w:trPr>
          <w:trHeight w:val="324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There is symmetry in the place value number system based around the ones place so that the patter</w:t>
            </w:r>
            <w:r w:rsidR="00410540">
              <w:rPr>
                <w:rFonts w:ascii="Arial" w:hAnsi="Arial" w:cs="Arial"/>
                <w:b/>
              </w:rPr>
              <w:t>n</w:t>
            </w:r>
            <w:r w:rsidRPr="003848E3">
              <w:rPr>
                <w:rFonts w:ascii="Arial" w:hAnsi="Arial" w:cs="Arial"/>
                <w:b/>
              </w:rPr>
              <w:t xml:space="preserve"> in naming wholes is reflected in naming decimals</w:t>
            </w:r>
          </w:p>
        </w:tc>
        <w:tc>
          <w:tcPr>
            <w:tcW w:w="1016" w:type="dxa"/>
          </w:tcPr>
          <w:p w:rsidR="00CF6C68" w:rsidRPr="007C36BB" w:rsidRDefault="00CF6C68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F6C68" w:rsidRPr="007C36BB" w:rsidTr="007D40D8">
        <w:trPr>
          <w:trHeight w:val="666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848E3">
              <w:rPr>
                <w:rFonts w:ascii="Arial" w:hAnsi="Arial" w:cs="Arial"/>
                <w:b/>
                <w:sz w:val="21"/>
                <w:szCs w:val="21"/>
              </w:rPr>
              <w:lastRenderedPageBreak/>
              <w:t>Double count by representing one group (e.g. hold up 4 fingers) and counting repetitions of that group, simultaneously keeping track of the number of groups and the number in each group</w:t>
            </w:r>
          </w:p>
        </w:tc>
        <w:tc>
          <w:tcPr>
            <w:tcW w:w="1016" w:type="dxa"/>
          </w:tcPr>
          <w:p w:rsidR="00CF6C68" w:rsidRPr="007C36BB" w:rsidRDefault="00CF6C68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F6C68" w:rsidRPr="007C36BB" w:rsidTr="007D40D8">
        <w:trPr>
          <w:trHeight w:val="324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The multiplicative relationship between quantities is expressed as ‘times as many’ and ‘how many times larger or smaller’ a number is than another number</w:t>
            </w:r>
          </w:p>
        </w:tc>
        <w:tc>
          <w:tcPr>
            <w:tcW w:w="1016" w:type="dxa"/>
          </w:tcPr>
          <w:p w:rsidR="00CF6C68" w:rsidRPr="007C36BB" w:rsidRDefault="00F53051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CF6C68" w:rsidRPr="007C36BB" w:rsidTr="007D40D8">
        <w:trPr>
          <w:trHeight w:val="666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Numbers move a place each time they are multiplied or divided by 10</w:t>
            </w:r>
          </w:p>
        </w:tc>
        <w:tc>
          <w:tcPr>
            <w:tcW w:w="1016" w:type="dxa"/>
          </w:tcPr>
          <w:p w:rsidR="00CF6C68" w:rsidRPr="007C36BB" w:rsidRDefault="00CF6C68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F6C68" w:rsidRPr="007C36BB" w:rsidTr="007D40D8">
        <w:trPr>
          <w:trHeight w:val="324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Basic number facts to 10x10 are recalled and patterns in number facts are investigated</w:t>
            </w:r>
          </w:p>
        </w:tc>
        <w:tc>
          <w:tcPr>
            <w:tcW w:w="1016" w:type="dxa"/>
          </w:tcPr>
          <w:p w:rsidR="00CF6C68" w:rsidRPr="007C36BB" w:rsidRDefault="00F53051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CF6C68" w:rsidRPr="007C36BB" w:rsidTr="007D40D8">
        <w:trPr>
          <w:trHeight w:val="342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Number facts can be extended by powers of 10</w:t>
            </w:r>
          </w:p>
        </w:tc>
        <w:tc>
          <w:tcPr>
            <w:tcW w:w="1016" w:type="dxa"/>
          </w:tcPr>
          <w:p w:rsidR="00CF6C68" w:rsidRPr="007C36BB" w:rsidRDefault="00CF6C68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F6C68" w:rsidRPr="007C36BB" w:rsidTr="007D40D8">
        <w:trPr>
          <w:trHeight w:val="666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Multiplicative situations can be represented as equal-groups problems, comparison problems, combinations (Cartesian) problems and area/array problems</w:t>
            </w:r>
          </w:p>
        </w:tc>
        <w:tc>
          <w:tcPr>
            <w:tcW w:w="1016" w:type="dxa"/>
          </w:tcPr>
          <w:p w:rsidR="00CF6C68" w:rsidRPr="007C36BB" w:rsidRDefault="00F53051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CF6C68" w:rsidRPr="007C36BB" w:rsidTr="007D40D8">
        <w:trPr>
          <w:trHeight w:val="650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 xml:space="preserve">The multiplicative situation is understood </w:t>
            </w:r>
            <w:r>
              <w:rPr>
                <w:rFonts w:ascii="Arial" w:hAnsi="Arial" w:cs="Arial"/>
                <w:b/>
              </w:rPr>
              <w:t>(</w:t>
            </w:r>
            <w:r w:rsidRPr="003848E3">
              <w:rPr>
                <w:rFonts w:ascii="Arial" w:hAnsi="Arial" w:cs="Arial"/>
                <w:b/>
              </w:rPr>
              <w:t>factor X factor = multiple</w:t>
            </w:r>
            <w:r>
              <w:rPr>
                <w:rFonts w:ascii="Arial" w:hAnsi="Arial" w:cs="Arial"/>
                <w:b/>
              </w:rPr>
              <w:t>)</w:t>
            </w:r>
            <w:r w:rsidRPr="003848E3">
              <w:rPr>
                <w:rFonts w:ascii="Arial" w:hAnsi="Arial" w:cs="Arial"/>
                <w:b/>
              </w:rPr>
              <w:t xml:space="preserve"> with the meanings of the terms clearly understood.</w:t>
            </w:r>
          </w:p>
        </w:tc>
        <w:tc>
          <w:tcPr>
            <w:tcW w:w="1016" w:type="dxa"/>
          </w:tcPr>
          <w:p w:rsidR="00CF6C68" w:rsidRPr="007C36BB" w:rsidRDefault="00FE61DD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CF6C68" w:rsidRPr="007C36BB" w:rsidTr="007D40D8">
        <w:trPr>
          <w:trHeight w:val="666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Multiplication arrays are used to visualise and represent multiplication situations</w:t>
            </w:r>
          </w:p>
        </w:tc>
        <w:tc>
          <w:tcPr>
            <w:tcW w:w="1016" w:type="dxa"/>
          </w:tcPr>
          <w:p w:rsidR="00CF6C68" w:rsidRPr="007C36BB" w:rsidRDefault="00F53051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CF6C68" w:rsidRPr="007C36BB" w:rsidTr="007D40D8">
        <w:trPr>
          <w:trHeight w:val="342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Division and multiplication are known as the inverse of one another</w:t>
            </w:r>
          </w:p>
        </w:tc>
        <w:tc>
          <w:tcPr>
            <w:tcW w:w="1016" w:type="dxa"/>
          </w:tcPr>
          <w:p w:rsidR="00CF6C68" w:rsidRPr="007C36BB" w:rsidRDefault="00F53051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CF6C68" w:rsidRPr="007C36BB" w:rsidTr="007D40D8">
        <w:trPr>
          <w:trHeight w:val="666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The communitive property of multiplication is understood and can be shown to be linked to arrays</w:t>
            </w:r>
          </w:p>
        </w:tc>
        <w:tc>
          <w:tcPr>
            <w:tcW w:w="1016" w:type="dxa"/>
          </w:tcPr>
          <w:p w:rsidR="00CF6C68" w:rsidRPr="007C36BB" w:rsidRDefault="00FE61DD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CF6C68" w:rsidRPr="007C36BB" w:rsidTr="007D40D8">
        <w:trPr>
          <w:trHeight w:val="650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 xml:space="preserve">Partition division involves finding </w:t>
            </w:r>
            <w:r>
              <w:rPr>
                <w:rFonts w:ascii="Arial" w:hAnsi="Arial" w:cs="Arial"/>
                <w:b/>
              </w:rPr>
              <w:t xml:space="preserve">the size of each group and </w:t>
            </w:r>
            <w:proofErr w:type="spellStart"/>
            <w:r>
              <w:rPr>
                <w:rFonts w:ascii="Arial" w:hAnsi="Arial" w:cs="Arial"/>
                <w:b/>
              </w:rPr>
              <w:t>quoti</w:t>
            </w:r>
            <w:r w:rsidRPr="003848E3">
              <w:rPr>
                <w:rFonts w:ascii="Arial" w:hAnsi="Arial" w:cs="Arial"/>
                <w:b/>
              </w:rPr>
              <w:t>tion</w:t>
            </w:r>
            <w:proofErr w:type="spellEnd"/>
            <w:r w:rsidRPr="003848E3">
              <w:rPr>
                <w:rFonts w:ascii="Arial" w:hAnsi="Arial" w:cs="Arial"/>
                <w:b/>
              </w:rPr>
              <w:t xml:space="preserve"> division involves finding the number of groups and can be also expressed in terms of factors and multiple</w:t>
            </w:r>
          </w:p>
        </w:tc>
        <w:tc>
          <w:tcPr>
            <w:tcW w:w="1016" w:type="dxa"/>
          </w:tcPr>
          <w:p w:rsidR="00CF6C68" w:rsidRPr="007C36BB" w:rsidRDefault="00FE61DD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CF6C68" w:rsidRPr="007C36BB" w:rsidTr="007D40D8">
        <w:trPr>
          <w:trHeight w:val="650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proofErr w:type="spellStart"/>
            <w:r w:rsidRPr="003848E3">
              <w:rPr>
                <w:rFonts w:ascii="Arial" w:hAnsi="Arial" w:cs="Arial"/>
                <w:b/>
              </w:rPr>
              <w:t>Quotition</w:t>
            </w:r>
            <w:proofErr w:type="spellEnd"/>
            <w:r w:rsidRPr="003848E3">
              <w:rPr>
                <w:rFonts w:ascii="Arial" w:hAnsi="Arial" w:cs="Arial"/>
                <w:b/>
              </w:rPr>
              <w:t xml:space="preserve"> division can be considered in terms of fractions so that a quantity can be split by ‘halving’, ‘</w:t>
            </w:r>
            <w:proofErr w:type="spellStart"/>
            <w:r w:rsidRPr="003848E3">
              <w:rPr>
                <w:rFonts w:ascii="Arial" w:hAnsi="Arial" w:cs="Arial"/>
                <w:b/>
              </w:rPr>
              <w:t>thirding</w:t>
            </w:r>
            <w:proofErr w:type="spellEnd"/>
            <w:r w:rsidRPr="003848E3">
              <w:rPr>
                <w:rFonts w:ascii="Arial" w:hAnsi="Arial" w:cs="Arial"/>
                <w:b/>
              </w:rPr>
              <w:t>’, ‘</w:t>
            </w:r>
            <w:proofErr w:type="spellStart"/>
            <w:r w:rsidRPr="003848E3">
              <w:rPr>
                <w:rFonts w:ascii="Arial" w:hAnsi="Arial" w:cs="Arial"/>
                <w:b/>
              </w:rPr>
              <w:t>fifthing</w:t>
            </w:r>
            <w:proofErr w:type="spellEnd"/>
            <w:r w:rsidRPr="003848E3">
              <w:rPr>
                <w:rFonts w:ascii="Arial" w:hAnsi="Arial" w:cs="Arial"/>
                <w:b/>
              </w:rPr>
              <w:t xml:space="preserve">’ etc. </w:t>
            </w:r>
          </w:p>
        </w:tc>
        <w:tc>
          <w:tcPr>
            <w:tcW w:w="1016" w:type="dxa"/>
          </w:tcPr>
          <w:p w:rsidR="00CF6C68" w:rsidRPr="007C36BB" w:rsidRDefault="00FE61DD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CF6C68" w:rsidRPr="007C36BB" w:rsidTr="007D40D8">
        <w:trPr>
          <w:trHeight w:val="650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Prime and composite numbers can be linked to multiplicative arrays – prime numbers can be made only with a single row array</w:t>
            </w:r>
          </w:p>
        </w:tc>
        <w:tc>
          <w:tcPr>
            <w:tcW w:w="1016" w:type="dxa"/>
          </w:tcPr>
          <w:p w:rsidR="00CF6C68" w:rsidRPr="007C36BB" w:rsidRDefault="00FE61DD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CF6C68" w:rsidRPr="007C36BB" w:rsidTr="007D40D8">
        <w:trPr>
          <w:trHeight w:val="650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Distributive property of multiplication over addition is applied and shown by a multiplicative array</w:t>
            </w:r>
          </w:p>
        </w:tc>
        <w:tc>
          <w:tcPr>
            <w:tcW w:w="1016" w:type="dxa"/>
          </w:tcPr>
          <w:p w:rsidR="00CF6C68" w:rsidRPr="007C36BB" w:rsidRDefault="00FE61DD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CF6C68" w:rsidRPr="007C36BB" w:rsidTr="007D40D8">
        <w:trPr>
          <w:trHeight w:val="650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Multiplicative arrays are linked to the concepts or area and volume</w:t>
            </w:r>
          </w:p>
        </w:tc>
        <w:tc>
          <w:tcPr>
            <w:tcW w:w="1016" w:type="dxa"/>
          </w:tcPr>
          <w:p w:rsidR="00CF6C68" w:rsidRPr="007C36BB" w:rsidRDefault="00FE61DD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</w:tr>
      <w:tr w:rsidR="00CF6C68" w:rsidRPr="007C36BB" w:rsidTr="007D40D8">
        <w:trPr>
          <w:trHeight w:val="650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Measurement units have the same multiplicative relationship as the Base 10 system</w:t>
            </w:r>
          </w:p>
        </w:tc>
        <w:tc>
          <w:tcPr>
            <w:tcW w:w="1016" w:type="dxa"/>
          </w:tcPr>
          <w:p w:rsidR="00CF6C68" w:rsidRPr="007C36BB" w:rsidRDefault="00CF6C68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F6C68" w:rsidRPr="007C36BB" w:rsidTr="007D40D8">
        <w:trPr>
          <w:trHeight w:val="650"/>
        </w:trPr>
        <w:tc>
          <w:tcPr>
            <w:tcW w:w="8572" w:type="dxa"/>
            <w:vAlign w:val="center"/>
          </w:tcPr>
          <w:p w:rsidR="00CF6C68" w:rsidRPr="003848E3" w:rsidRDefault="00CF6C68" w:rsidP="00CF6C68">
            <w:pPr>
              <w:rPr>
                <w:rFonts w:ascii="Arial" w:hAnsi="Arial" w:cs="Arial"/>
                <w:b/>
              </w:rPr>
            </w:pPr>
            <w:r w:rsidRPr="003848E3">
              <w:rPr>
                <w:rFonts w:ascii="Arial" w:hAnsi="Arial" w:cs="Arial"/>
                <w:b/>
              </w:rPr>
              <w:t>Cartesian products can be represented symbolically and in tree diagrams</w:t>
            </w:r>
          </w:p>
        </w:tc>
        <w:tc>
          <w:tcPr>
            <w:tcW w:w="1016" w:type="dxa"/>
          </w:tcPr>
          <w:p w:rsidR="00CF6C68" w:rsidRPr="007C36BB" w:rsidRDefault="00CF6C68" w:rsidP="00CF6C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EC1BA6" w:rsidRPr="00EC1BA6" w:rsidRDefault="00EC1BA6" w:rsidP="000D422C">
      <w:pPr>
        <w:rPr>
          <w:rFonts w:ascii="Century Gothic" w:hAnsi="Century Gothic"/>
          <w:b/>
          <w:sz w:val="28"/>
          <w:szCs w:val="28"/>
        </w:rPr>
      </w:pPr>
    </w:p>
    <w:sectPr w:rsidR="00EC1BA6" w:rsidRPr="00EC1BA6" w:rsidSect="00CF6C68">
      <w:headerReference w:type="default" r:id="rId7"/>
      <w:pgSz w:w="12240" w:h="15840"/>
      <w:pgMar w:top="1440" w:right="1440" w:bottom="1440" w:left="1440" w:header="708" w:footer="708" w:gutter="0"/>
      <w:pgBorders w:offsetFrom="page">
        <w:top w:val="single" w:sz="12" w:space="24" w:color="FF5050"/>
        <w:left w:val="single" w:sz="12" w:space="24" w:color="FF5050"/>
        <w:bottom w:val="single" w:sz="12" w:space="24" w:color="FF5050"/>
        <w:right w:val="single" w:sz="12" w:space="24" w:color="FF5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A9" w:rsidRDefault="009D32A9" w:rsidP="00EC1BA6">
      <w:pPr>
        <w:spacing w:after="0" w:line="240" w:lineRule="auto"/>
      </w:pPr>
      <w:r>
        <w:separator/>
      </w:r>
    </w:p>
  </w:endnote>
  <w:endnote w:type="continuationSeparator" w:id="0">
    <w:p w:rsidR="009D32A9" w:rsidRDefault="009D32A9" w:rsidP="00EC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A9" w:rsidRDefault="009D32A9" w:rsidP="00EC1BA6">
      <w:pPr>
        <w:spacing w:after="0" w:line="240" w:lineRule="auto"/>
      </w:pPr>
      <w:r>
        <w:separator/>
      </w:r>
    </w:p>
  </w:footnote>
  <w:footnote w:type="continuationSeparator" w:id="0">
    <w:p w:rsidR="009D32A9" w:rsidRDefault="009D32A9" w:rsidP="00EC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A6" w:rsidRPr="00EC1BA6" w:rsidRDefault="00EC1BA6" w:rsidP="00EC1BA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EC1BA6">
      <w:rPr>
        <w:rFonts w:ascii="Century Gothic" w:hAnsi="Century Gothic"/>
        <w:b/>
        <w:sz w:val="36"/>
        <w:szCs w:val="36"/>
      </w:rPr>
      <w:t>Big Ideas in Number Resource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6840"/>
    <w:multiLevelType w:val="hybridMultilevel"/>
    <w:tmpl w:val="58262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A6"/>
    <w:rsid w:val="000D422C"/>
    <w:rsid w:val="001F6030"/>
    <w:rsid w:val="002C342E"/>
    <w:rsid w:val="00410540"/>
    <w:rsid w:val="005E14CA"/>
    <w:rsid w:val="00604782"/>
    <w:rsid w:val="006D5D0F"/>
    <w:rsid w:val="00796D00"/>
    <w:rsid w:val="007C36BB"/>
    <w:rsid w:val="007D40D8"/>
    <w:rsid w:val="00831CED"/>
    <w:rsid w:val="009D32A9"/>
    <w:rsid w:val="00BF5C66"/>
    <w:rsid w:val="00CF6C68"/>
    <w:rsid w:val="00EC1BA6"/>
    <w:rsid w:val="00F53051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EABA4-689B-441D-8BFA-77EC895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A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A6"/>
    <w:rPr>
      <w:lang w:val="en-AU"/>
    </w:rPr>
  </w:style>
  <w:style w:type="table" w:styleId="TableGrid">
    <w:name w:val="Table Grid"/>
    <w:basedOn w:val="TableNormal"/>
    <w:uiPriority w:val="39"/>
    <w:rsid w:val="00EC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S. Nelson</dc:creator>
  <cp:keywords/>
  <dc:description/>
  <cp:lastModifiedBy>Ashley Gardner</cp:lastModifiedBy>
  <cp:revision>2</cp:revision>
  <dcterms:created xsi:type="dcterms:W3CDTF">2019-05-10T05:12:00Z</dcterms:created>
  <dcterms:modified xsi:type="dcterms:W3CDTF">2019-05-10T05:12:00Z</dcterms:modified>
</cp:coreProperties>
</file>