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BF5C66" w:rsidRPr="005E14CA">
        <w:rPr>
          <w:rFonts w:ascii="Century Gothic" w:hAnsi="Century Gothic"/>
          <w:b/>
          <w:color w:val="FF00FF"/>
          <w:sz w:val="24"/>
          <w:szCs w:val="24"/>
        </w:rPr>
        <w:t xml:space="preserve">Partitioning </w:t>
      </w:r>
    </w:p>
    <w:p w:rsidR="00EC1BA6" w:rsidRPr="007C36BB" w:rsidRDefault="001327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3AAEABB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8158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BA6" w:rsidRPr="001229C1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</w:t>
      </w:r>
      <w:r w:rsidRPr="00B250DD">
        <w:rPr>
          <w:rFonts w:ascii="Century Gothic" w:hAnsi="Century Gothic"/>
          <w:sz w:val="24"/>
          <w:szCs w:val="24"/>
        </w:rPr>
        <w:t>:</w:t>
      </w:r>
      <w:r w:rsidR="001229C1" w:rsidRPr="00B250DD">
        <w:rPr>
          <w:rFonts w:ascii="Century Gothic" w:hAnsi="Century Gothic"/>
          <w:sz w:val="24"/>
          <w:szCs w:val="24"/>
        </w:rPr>
        <w:t xml:space="preserve">  </w:t>
      </w:r>
      <w:r w:rsidR="001229C1" w:rsidRPr="00B250DD">
        <w:rPr>
          <w:rFonts w:ascii="Century Gothic" w:hAnsi="Century Gothic"/>
          <w:b/>
          <w:sz w:val="24"/>
          <w:szCs w:val="24"/>
        </w:rPr>
        <w:t>Fraction Field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</w:p>
    <w:p w:rsidR="00EC1BA6" w:rsidRPr="007C36BB" w:rsidRDefault="00B250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Roll two 12 sided dice (dice depends on the fraction you are investigating) to produce a fraction </w:t>
      </w:r>
      <w:proofErr w:type="spellStart"/>
      <w:r>
        <w:rPr>
          <w:rFonts w:ascii="Century Gothic" w:hAnsi="Century Gothic"/>
          <w:sz w:val="24"/>
          <w:szCs w:val="24"/>
        </w:rPr>
        <w:t>e.g</w:t>
      </w:r>
      <w:proofErr w:type="spellEnd"/>
      <w:r>
        <w:rPr>
          <w:rFonts w:ascii="Century Gothic" w:hAnsi="Century Gothic"/>
          <w:sz w:val="24"/>
          <w:szCs w:val="24"/>
        </w:rPr>
        <w:t xml:space="preserve"> rolling a 2 and a 5 will make 2/5. The fraction is then coloured in on the fraction field.  If the fraction </w:t>
      </w:r>
      <w:r w:rsidR="00132751">
        <w:rPr>
          <w:rFonts w:ascii="Century Gothic" w:hAnsi="Century Gothic"/>
          <w:sz w:val="24"/>
          <w:szCs w:val="24"/>
        </w:rPr>
        <w:t>cannot</w:t>
      </w:r>
      <w:r>
        <w:rPr>
          <w:rFonts w:ascii="Century Gothic" w:hAnsi="Century Gothic"/>
          <w:sz w:val="24"/>
          <w:szCs w:val="24"/>
        </w:rPr>
        <w:t xml:space="preserve"> be made</w:t>
      </w:r>
      <w:r w:rsidR="00132751">
        <w:rPr>
          <w:rFonts w:ascii="Century Gothic" w:hAnsi="Century Gothic"/>
          <w:sz w:val="24"/>
          <w:szCs w:val="24"/>
        </w:rPr>
        <w:t xml:space="preserve"> an</w:t>
      </w:r>
      <w:r>
        <w:rPr>
          <w:rFonts w:ascii="Century Gothic" w:hAnsi="Century Gothic"/>
          <w:sz w:val="24"/>
          <w:szCs w:val="24"/>
        </w:rPr>
        <w:t xml:space="preserve"> equivalent fraction or added fraction can be used e.g. 4/10 for 2/</w:t>
      </w:r>
      <w:proofErr w:type="gramStart"/>
      <w:r>
        <w:rPr>
          <w:rFonts w:ascii="Century Gothic" w:hAnsi="Century Gothic"/>
          <w:sz w:val="24"/>
          <w:szCs w:val="24"/>
        </w:rPr>
        <w:t>5  or</w:t>
      </w:r>
      <w:proofErr w:type="gramEnd"/>
      <w:r>
        <w:rPr>
          <w:rFonts w:ascii="Century Gothic" w:hAnsi="Century Gothic"/>
          <w:sz w:val="24"/>
          <w:szCs w:val="24"/>
        </w:rPr>
        <w:t xml:space="preserve"> 1/5 + 2/10. The aim of the game is to be the first to fill the Fraction Field.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0D422C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</w:p>
    <w:p w:rsidR="00EC1BA6" w:rsidRDefault="00B250DD" w:rsidP="00B250D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12 sided dice</w:t>
      </w:r>
    </w:p>
    <w:p w:rsidR="00B250DD" w:rsidRPr="00B250DD" w:rsidRDefault="00B250DD" w:rsidP="00B250D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Fractions field</w:t>
      </w: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EC1BA6" w:rsidRPr="007C36BB" w:rsidTr="007D40D8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Objects, quantities and collections can be shared to create equal parts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There is a relationship between the number of parts and the size and name of the parts and the number of parts increases as the size or share decreases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Objects, quantities and collections can be repeatedly halved and doubled e.g. use successive splits to show that one half is equivalent to 2 parts in 4, 4 parts in 8 etc.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132751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An object, quantity or collection can be partitioned into a number of equal portions to show unit fractions so that say one third is more than one fourth etc.</w:t>
            </w:r>
          </w:p>
        </w:tc>
        <w:tc>
          <w:tcPr>
            <w:tcW w:w="1016" w:type="dxa"/>
            <w:shd w:val="clear" w:color="auto" w:fill="5B9BD5" w:themeFill="accent1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132751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The relative magnitude of a fraction is dependent on the relationship between the numerator (how many parts) and the denominator (total parts)</w:t>
            </w:r>
          </w:p>
        </w:tc>
        <w:tc>
          <w:tcPr>
            <w:tcW w:w="1016" w:type="dxa"/>
            <w:shd w:val="clear" w:color="auto" w:fill="5B9BD5" w:themeFill="accent1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132751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Fractions are renamed as equivalents where the total number of parts (denominator) and required number of parts (numerator) are increased by the same factor</w:t>
            </w:r>
          </w:p>
        </w:tc>
        <w:tc>
          <w:tcPr>
            <w:tcW w:w="1016" w:type="dxa"/>
            <w:shd w:val="clear" w:color="auto" w:fill="5B9BD5" w:themeFill="accent1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Fractions with unlike denominators can be compared and ordered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Common fractions and decimal fractions can be compared, ordered and renamed in conceptual ways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Construct of fraction as division can be used to produce equal parts (equipartitioning)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Fractions are used to describe quotients and operators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Fractions are used to describe part-whole relations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650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Fractions are used to describe simple ratios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Percentages, fractions and decimals express the relationship between to quantities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Percentages are special part : whole ratios based on 100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132751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Any given percentage can be used as a ratio to generate an infinite number of equivalent fractions (e.g. 50% = ½ 2/4 3/6 etc.)</w:t>
            </w:r>
          </w:p>
        </w:tc>
        <w:tc>
          <w:tcPr>
            <w:tcW w:w="1016" w:type="dxa"/>
            <w:shd w:val="clear" w:color="auto" w:fill="5B9BD5" w:themeFill="accent1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7D40D8">
        <w:trPr>
          <w:trHeight w:val="650"/>
        </w:trPr>
        <w:tc>
          <w:tcPr>
            <w:tcW w:w="8572" w:type="dxa"/>
            <w:vAlign w:val="center"/>
          </w:tcPr>
          <w:p w:rsidR="00EC1BA6" w:rsidRPr="007C36BB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5C66">
              <w:rPr>
                <w:rFonts w:ascii="Century Gothic" w:hAnsi="Century Gothic"/>
                <w:b/>
                <w:sz w:val="24"/>
                <w:szCs w:val="24"/>
              </w:rPr>
              <w:t>Multiplicative arrays can be used to represent fractions, decimals and percentages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F5C66" w:rsidRPr="007C36BB" w:rsidTr="007D40D8">
        <w:trPr>
          <w:trHeight w:val="650"/>
        </w:trPr>
        <w:tc>
          <w:tcPr>
            <w:tcW w:w="8572" w:type="dxa"/>
            <w:vAlign w:val="center"/>
          </w:tcPr>
          <w:p w:rsidR="00BF5C66" w:rsidRPr="00BF5C66" w:rsidRDefault="00BF5C66" w:rsidP="007D40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Benchmark fractions, decimals and percentages which are the equivalents of one another, can be used to estimate and to solve problems</w:t>
            </w:r>
          </w:p>
        </w:tc>
        <w:tc>
          <w:tcPr>
            <w:tcW w:w="1016" w:type="dxa"/>
          </w:tcPr>
          <w:p w:rsidR="00BF5C66" w:rsidRPr="007C36BB" w:rsidRDefault="00BF5C6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p w:rsidR="007F565B" w:rsidRDefault="007F565B" w:rsidP="000D422C">
      <w:pPr>
        <w:rPr>
          <w:rFonts w:ascii="Century Gothic" w:hAnsi="Century Gothic"/>
          <w:b/>
          <w:sz w:val="28"/>
          <w:szCs w:val="28"/>
        </w:rPr>
      </w:pPr>
    </w:p>
    <w:p w:rsidR="007F565B" w:rsidRDefault="007F56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7F565B" w:rsidRDefault="007F565B" w:rsidP="000D422C">
      <w:pPr>
        <w:rPr>
          <w:rFonts w:ascii="Century Gothic" w:hAnsi="Century Gothic"/>
          <w:b/>
          <w:sz w:val="28"/>
          <w:szCs w:val="28"/>
        </w:rPr>
        <w:sectPr w:rsidR="007F565B" w:rsidSect="007F565B">
          <w:headerReference w:type="default" r:id="rId8"/>
          <w:pgSz w:w="12240" w:h="15840"/>
          <w:pgMar w:top="1440" w:right="1440" w:bottom="1440" w:left="1440" w:header="708" w:footer="708" w:gutter="0"/>
          <w:pgBorders w:offsetFrom="page">
            <w:top w:val="single" w:sz="12" w:space="24" w:color="FF00FF"/>
            <w:left w:val="single" w:sz="12" w:space="24" w:color="FF00FF"/>
            <w:bottom w:val="single" w:sz="12" w:space="24" w:color="FF00FF"/>
            <w:right w:val="single" w:sz="12" w:space="24" w:color="FF00FF"/>
          </w:pgBorders>
          <w:cols w:space="708"/>
          <w:docGrid w:linePitch="360"/>
        </w:sectPr>
      </w:pPr>
    </w:p>
    <w:p w:rsidR="007F565B" w:rsidRDefault="007F565B" w:rsidP="007F565B">
      <w:r>
        <w:rPr>
          <w:noProof/>
          <w:lang w:eastAsia="en-AU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B450399" wp14:editId="61A7D3C8">
                <wp:simplePos x="0" y="0"/>
                <wp:positionH relativeFrom="column">
                  <wp:posOffset>227020</wp:posOffset>
                </wp:positionH>
                <wp:positionV relativeFrom="paragraph">
                  <wp:posOffset>2418260</wp:posOffset>
                </wp:positionV>
                <wp:extent cx="2160" cy="2160"/>
                <wp:effectExtent l="57150" t="57150" r="74295" b="7429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8DF2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6.8pt;margin-top:187.85pt;width:2.3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">
                <v:imagedata r:id="rId10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E747944" wp14:editId="555D2F32">
                <wp:simplePos x="0" y="0"/>
                <wp:positionH relativeFrom="column">
                  <wp:posOffset>230620</wp:posOffset>
                </wp:positionH>
                <wp:positionV relativeFrom="paragraph">
                  <wp:posOffset>2417540</wp:posOffset>
                </wp:positionV>
                <wp:extent cx="2520" cy="9360"/>
                <wp:effectExtent l="57150" t="57150" r="74295" b="863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75422" id="Ink 8" o:spid="_x0000_s1026" type="#_x0000_t75" style="position:absolute;margin-left:16.7pt;margin-top:188.15pt;width:3.2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">
                <v:imagedata r:id="rId12" o:title="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2E876FD" wp14:editId="5B29C257">
            <wp:extent cx="10047832" cy="4508500"/>
            <wp:effectExtent l="0" t="0" r="0" b="6350"/>
            <wp:docPr id="2" name="Picture 2" descr="http://www.geldfritz.net/cdn/24/2016/262/equivalent-fractions-strips_129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ldfritz.net/cdn/24/2016/262/equivalent-fractions-strips_1299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4" b="9448"/>
                    <a:stretch/>
                  </pic:blipFill>
                  <pic:spPr bwMode="auto">
                    <a:xfrm>
                      <a:off x="0" y="0"/>
                      <a:ext cx="10079160" cy="45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65B" w:rsidRPr="00EC1BA6" w:rsidRDefault="007F565B" w:rsidP="000D422C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7F565B" w:rsidRPr="00EC1BA6" w:rsidSect="00485B46">
      <w:pgSz w:w="16838" w:h="11906" w:orient="landscape"/>
      <w:pgMar w:top="568" w:right="53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DA" w:rsidRDefault="001075DA" w:rsidP="00EC1BA6">
      <w:pPr>
        <w:spacing w:after="0" w:line="240" w:lineRule="auto"/>
      </w:pPr>
      <w:r>
        <w:separator/>
      </w:r>
    </w:p>
  </w:endnote>
  <w:endnote w:type="continuationSeparator" w:id="0">
    <w:p w:rsidR="001075DA" w:rsidRDefault="001075DA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DA" w:rsidRDefault="001075DA" w:rsidP="00EC1BA6">
      <w:pPr>
        <w:spacing w:after="0" w:line="240" w:lineRule="auto"/>
      </w:pPr>
      <w:r>
        <w:separator/>
      </w:r>
    </w:p>
  </w:footnote>
  <w:footnote w:type="continuationSeparator" w:id="0">
    <w:p w:rsidR="001075DA" w:rsidRDefault="001075DA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F7"/>
    <w:multiLevelType w:val="hybridMultilevel"/>
    <w:tmpl w:val="FB441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D422C"/>
    <w:rsid w:val="001075DA"/>
    <w:rsid w:val="001229C1"/>
    <w:rsid w:val="00132751"/>
    <w:rsid w:val="00135200"/>
    <w:rsid w:val="001F6030"/>
    <w:rsid w:val="00334E09"/>
    <w:rsid w:val="005E14CA"/>
    <w:rsid w:val="00604782"/>
    <w:rsid w:val="007C36BB"/>
    <w:rsid w:val="007D40D8"/>
    <w:rsid w:val="007F565B"/>
    <w:rsid w:val="00950472"/>
    <w:rsid w:val="00B250DD"/>
    <w:rsid w:val="00BF5C66"/>
    <w:rsid w:val="00BF7F6B"/>
    <w:rsid w:val="00EC1BA6"/>
    <w:rsid w:val="00F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5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8T02:15:30.9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 5 0,'-1'-1'0,"-1"0"0,1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8T02:15:30.6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0,'4'24'0,"-5"-26"0,1 2 0,0-3 0,0 2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3</cp:revision>
  <dcterms:created xsi:type="dcterms:W3CDTF">2019-05-10T04:51:00Z</dcterms:created>
  <dcterms:modified xsi:type="dcterms:W3CDTF">2019-07-05T05:20:00Z</dcterms:modified>
</cp:coreProperties>
</file>